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20" w:hanging="360"/>
        <w:jc w:val="center"/>
        <w:rPr>
          <w:b w:val="1"/>
          <w:bCs w:val="1"/>
          <w:sz w:val="22"/>
          <w:szCs w:val="22"/>
        </w:rPr>
      </w:pPr>
      <w:r w:rsidDel="00000000" w:rsidR="00000000" w:rsidRPr="00000000">
        <w:rPr>
          <w:b w:val="1"/>
          <w:bCs w:val="1"/>
          <w:sz w:val="22"/>
          <w:szCs w:val="22"/>
          <w:rtl w:val="0"/>
        </w:rPr>
        <w:t xml:space="preserve">FORMULARUL ZONELOR PRIORITARE PENTRU BIODIVERSITATE</w:t>
      </w:r>
    </w:p>
    <w:p w:rsidR="00000000" w:rsidDel="00000000" w:rsidP="00000000" w:rsidRDefault="00000000" w:rsidRPr="00000000" w14:paraId="00000002">
      <w:pPr>
        <w:ind w:left="720" w:hanging="360"/>
        <w:jc w:val="cente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894927827"/>
          <w:tag w:val="goog_rdk_0"/>
        </w:sdtP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PVCV055ZPB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Cvasivirgină Pietrosul</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561980394"/>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25601348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578853019"/>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Ind w:w="10.0" w:type="dxa"/>
        <w:tblLayout w:type="fixed"/>
        <w:tblLook w:val="0400"/>
      </w:tblPr>
      <w:tblGrid>
        <w:gridCol w:w="4500"/>
        <w:gridCol w:w="4500"/>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jc w:val="both"/>
        <w:rPr>
          <w:b w:val="1"/>
          <w:bCs w:val="1"/>
          <w:sz w:val="22"/>
          <w:szCs w:val="22"/>
        </w:rPr>
      </w:pPr>
      <w:r w:rsidDel="00000000" w:rsidR="00000000" w:rsidRPr="00000000">
        <w:rPr>
          <w:rtl w:val="0"/>
        </w:rPr>
      </w:r>
    </w:p>
    <w:p w:rsidR="00000000" w:rsidDel="00000000" w:rsidP="00000000" w:rsidRDefault="00000000" w:rsidRPr="00000000" w14:paraId="0000002D">
      <w:pPr>
        <w:jc w:val="both"/>
        <w:rPr>
          <w:b w:val="1"/>
          <w:bCs w:val="1"/>
          <w:sz w:val="22"/>
          <w:szCs w:val="22"/>
        </w:rPr>
      </w:pPr>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b w:val="1"/>
          <w:bCs w:val="1"/>
          <w:sz w:val="22"/>
          <w:szCs w:val="22"/>
          <w:rtl w:val="0"/>
        </w:rPr>
        <w:t xml:space="preserve">1.7. Datele indicării și desemnării ca ZPB </w:t>
      </w:r>
      <w:r w:rsidDel="00000000" w:rsidR="00000000" w:rsidRPr="00000000">
        <w:rPr>
          <w:rtl w:val="0"/>
        </w:rPr>
      </w:r>
    </w:p>
    <w:tbl>
      <w:tblPr>
        <w:tblStyle w:val="Table4"/>
        <w:tblW w:w="9000.0" w:type="dxa"/>
        <w:jc w:val="left"/>
        <w:tblInd w:w="10.0" w:type="dxa"/>
        <w:tblLayout w:type="fixed"/>
        <w:tblLook w:val="0400"/>
      </w:tblPr>
      <w:tblGrid>
        <w:gridCol w:w="4466"/>
        <w:gridCol w:w="4534"/>
      </w:tblGrid>
      <w:tr>
        <w:trPr>
          <w:cantSplit w:val="0"/>
          <w:tblHeader w:val="0"/>
        </w:trPr>
        <w:tc>
          <w:tcPr/>
          <w:p w:rsidR="00000000" w:rsidDel="00000000" w:rsidP="00000000" w:rsidRDefault="00000000" w:rsidRPr="00000000" w14:paraId="00000030">
            <w:pPr>
              <w:rPr>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122,71</w:t>
      </w: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protejate/OECM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584,33%</w:t>
      </w: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2.3. Încadrarea ZPB în regiunile administrative </w:t>
      </w:r>
      <w:r w:rsidDel="00000000" w:rsidR="00000000" w:rsidRPr="00000000">
        <w:rPr>
          <w:rtl w:val="0"/>
        </w:rPr>
      </w:r>
    </w:p>
    <w:tbl>
      <w:tblPr>
        <w:tblStyle w:val="Table6"/>
        <w:tblW w:w="9000.0" w:type="dxa"/>
        <w:jc w:val="left"/>
        <w:tblInd w:w="10.0" w:type="dxa"/>
        <w:tblLayout w:type="fixed"/>
        <w:tblLook w:val="0400"/>
      </w:tblPr>
      <w:tblGrid>
        <w:gridCol w:w="3164"/>
        <w:gridCol w:w="445"/>
        <w:gridCol w:w="5391"/>
      </w:tblGrid>
      <w:tr>
        <w:trPr>
          <w:cantSplit w:val="0"/>
          <w:tblHeader w:val="0"/>
        </w:trPr>
        <w:tc>
          <w:tcPr/>
          <w:p w:rsidR="00000000" w:rsidDel="00000000" w:rsidP="00000000" w:rsidRDefault="00000000" w:rsidRPr="00000000" w14:paraId="0000004B">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1">
      <w:pPr>
        <w:spacing w:before="240" w:lineRule="auto"/>
        <w:rPr/>
      </w:pPr>
      <w:r w:rsidDel="00000000" w:rsidR="00000000" w:rsidRPr="00000000">
        <w:rPr>
          <w:sz w:val="22"/>
          <w:szCs w:val="22"/>
          <w:rtl w:val="0"/>
        </w:rPr>
        <w:t xml:space="preserve">Numele Județului/Județelor </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Suceava</w:t>
      </w:r>
    </w:p>
    <w:p w:rsidR="00000000" w:rsidDel="00000000" w:rsidP="00000000" w:rsidRDefault="00000000" w:rsidRPr="00000000" w14:paraId="00000053">
      <w:pPr>
        <w:jc w:val="both"/>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9000.0" w:type="dxa"/>
        <w:jc w:val="left"/>
        <w:tblInd w:w="10.0" w:type="dxa"/>
        <w:tblLayout w:type="fixed"/>
        <w:tblLook w:val="0400"/>
      </w:tblPr>
      <w:tblGrid>
        <w:gridCol w:w="2937"/>
        <w:gridCol w:w="47"/>
        <w:gridCol w:w="3007"/>
        <w:gridCol w:w="47"/>
        <w:gridCol w:w="2962"/>
      </w:tblGrid>
      <w:tr>
        <w:trPr>
          <w:cantSplit w:val="0"/>
          <w:tblHeader w:val="0"/>
        </w:trPr>
        <w:tc>
          <w:tcPr/>
          <w:p w:rsidR="00000000" w:rsidDel="00000000" w:rsidP="00000000" w:rsidRDefault="00000000" w:rsidRPr="00000000" w14:paraId="00000054">
            <w:pPr>
              <w:rPr/>
            </w:pPr>
            <w:sdt>
              <w:sdtPr>
                <w:id w:val="99977257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sdt>
              <w:sdtPr>
                <w:id w:val="-553526381"/>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sdt>
              <w:sdtPr>
                <w:id w:val="841265306"/>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9">
            <w:pPr>
              <w:rPr/>
            </w:pPr>
            <w:sdt>
              <w:sdtPr>
                <w:id w:val="-1330541185"/>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1875153579"/>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1703579728"/>
                <w:tag w:val="goog_rdk_9"/>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t xml:space="preserve"> </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Suprafața totală a ZPB (ha) </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122,71</w:t>
      </w:r>
      <w:r w:rsidDel="00000000" w:rsidR="00000000" w:rsidRPr="00000000">
        <w:rPr>
          <w:rtl w:val="0"/>
        </w:rPr>
      </w:r>
    </w:p>
    <w:p w:rsidR="00000000" w:rsidDel="00000000" w:rsidP="00000000" w:rsidRDefault="00000000" w:rsidRPr="00000000" w14:paraId="00000069">
      <w:pPr>
        <w:jc w:val="both"/>
        <w:rPr>
          <w:sz w:val="22"/>
          <w:szCs w:val="22"/>
        </w:rPr>
      </w:pPr>
      <w:r w:rsidDel="00000000" w:rsidR="00000000" w:rsidRPr="00000000">
        <w:rPr>
          <w:b w:val="1"/>
          <w:bCs w:val="1"/>
          <w:sz w:val="22"/>
          <w:szCs w:val="22"/>
          <w:rtl w:val="0"/>
        </w:rPr>
        <w:t xml:space="preserve">Documente relevante în raport cu ZPB</w:t>
      </w:r>
      <w:r w:rsidDel="00000000" w:rsidR="00000000" w:rsidRPr="00000000">
        <w:rPr>
          <w:sz w:val="22"/>
          <w:szCs w:val="22"/>
          <w:rtl w:val="0"/>
        </w:rPr>
        <w:t xml:space="preserve"> </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jc w:val="both"/>
        <w:rPr>
          <w:sz w:val="16"/>
          <w:szCs w:val="16"/>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338.0" w:type="dxa"/>
        <w:jc w:val="left"/>
        <w:tblInd w:w="10.0" w:type="dxa"/>
        <w:tblLayout w:type="fixed"/>
        <w:tblLook w:val="0400"/>
      </w:tblPr>
      <w:tblGrid>
        <w:gridCol w:w="4497"/>
        <w:gridCol w:w="484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jc w:val="both"/>
              <w:rPr>
                <w:i w:val="1"/>
                <w:iCs w:val="1"/>
                <w:sz w:val="22"/>
                <w:szCs w:val="22"/>
              </w:rPr>
            </w:pPr>
            <w:r w:rsidDel="00000000" w:rsidR="00000000" w:rsidRPr="00000000">
              <w:rPr>
                <w:b w:val="1"/>
                <w:bCs w:val="1"/>
                <w:sz w:val="22"/>
                <w:szCs w:val="22"/>
                <w:rtl w:val="0"/>
              </w:rPr>
              <w:t xml:space="preserve">Habitate de păduri temperate montane de conifere:</w:t>
            </w:r>
            <w:r w:rsidDel="00000000" w:rsidR="00000000" w:rsidRPr="00000000">
              <w:rPr>
                <w:rtl w:val="0"/>
              </w:rPr>
            </w:r>
          </w:p>
          <w:p w:rsidR="00000000" w:rsidDel="00000000" w:rsidP="00000000" w:rsidRDefault="00000000" w:rsidRPr="00000000" w14:paraId="00000071">
            <w:pPr>
              <w:spacing w:after="0" w:lineRule="auto"/>
              <w:jc w:val="both"/>
              <w:rPr>
                <w:i w:val="1"/>
                <w:iCs w:val="1"/>
                <w:sz w:val="22"/>
                <w:szCs w:val="22"/>
              </w:rPr>
            </w:pPr>
            <w:r w:rsidDel="00000000" w:rsidR="00000000" w:rsidRPr="00000000">
              <w:rPr>
                <w:i w:val="1"/>
                <w:iCs w:val="1"/>
                <w:sz w:val="22"/>
                <w:szCs w:val="22"/>
                <w:rtl w:val="0"/>
              </w:rPr>
              <w:t xml:space="preserve">9410 Păduri acidofile cu Picea din etajele alpine montane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jc w:val="both"/>
              <w:rPr>
                <w:sz w:val="22"/>
                <w:szCs w:val="22"/>
              </w:rPr>
            </w:pPr>
            <w:r w:rsidDel="00000000" w:rsidR="00000000" w:rsidRPr="00000000">
              <w:rPr>
                <w:b w:val="1"/>
                <w:bCs w:val="1"/>
                <w:sz w:val="22"/>
                <w:szCs w:val="22"/>
                <w:rtl w:val="0"/>
              </w:rPr>
              <w:t xml:space="preserve">Păduri virgine / cvasivirgine (PVCV)</w:t>
            </w:r>
            <w:r w:rsidDel="00000000" w:rsidR="00000000" w:rsidRPr="00000000">
              <w:rPr>
                <w:rtl w:val="0"/>
              </w:rPr>
            </w:r>
          </w:p>
          <w:p w:rsidR="00000000" w:rsidDel="00000000" w:rsidP="00000000" w:rsidRDefault="00000000" w:rsidRPr="00000000" w14:paraId="00000076">
            <w:pPr>
              <w:spacing w:after="0" w:lineRule="auto"/>
              <w:jc w:val="both"/>
              <w:rPr>
                <w:sz w:val="22"/>
                <w:szCs w:val="22"/>
              </w:rPr>
            </w:pPr>
            <w:r w:rsidDel="00000000" w:rsidR="00000000" w:rsidRPr="00000000">
              <w:rPr>
                <w:sz w:val="22"/>
                <w:szCs w:val="22"/>
                <w:rtl w:val="0"/>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rsidR="00000000" w:rsidDel="00000000" w:rsidP="00000000" w:rsidRDefault="00000000" w:rsidRPr="00000000" w14:paraId="00000077">
            <w:pPr>
              <w:spacing w:after="0" w:lineRule="auto"/>
              <w:jc w:val="both"/>
              <w:rPr>
                <w:sz w:val="22"/>
                <w:szCs w:val="22"/>
              </w:rPr>
            </w:pPr>
            <w:r w:rsidDel="00000000" w:rsidR="00000000" w:rsidRPr="00000000">
              <w:rPr>
                <w:sz w:val="22"/>
                <w:szCs w:val="22"/>
                <w:rtl w:val="0"/>
              </w:rPr>
              <w:t xml:space="preserve">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rsidR="00000000" w:rsidDel="00000000" w:rsidP="00000000" w:rsidRDefault="00000000" w:rsidRPr="00000000" w14:paraId="00000078">
            <w:pPr>
              <w:spacing w:after="0" w:lineRule="auto"/>
              <w:jc w:val="both"/>
              <w:rPr>
                <w:sz w:val="22"/>
                <w:szCs w:val="22"/>
              </w:rPr>
            </w:pPr>
            <w:r w:rsidDel="00000000" w:rsidR="00000000" w:rsidRPr="00000000">
              <w:rPr>
                <w:sz w:val="22"/>
                <w:szCs w:val="22"/>
                <w:rtl w:val="0"/>
              </w:rPr>
              <w:t xml:space="preserve">Desemnarea ca ZPB se fundamentează pe criteriul metodologiei aplicabil pădurilor virgine și cvasivirgine, precum și pe valoarea conservativă ridicată a ecosistemelor forestiere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i w:val="1"/>
                <w:iCs w:val="1"/>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8A">
            <w:pPr>
              <w:spacing w:after="0" w:lineRule="auto"/>
              <w:jc w:val="both"/>
              <w:rPr>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 “Stațiuni forestiere”, Vol. II, Ed. Academiei R.S.R., București</w:t>
      </w:r>
    </w:p>
    <w:p w:rsidR="00000000" w:rsidDel="00000000" w:rsidP="00000000" w:rsidRDefault="00000000" w:rsidRPr="00000000" w14:paraId="0000009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 Ecologie forestieră (cu elemente de ecologie generală), Ed. Ceres</w:t>
      </w:r>
    </w:p>
    <w:p w:rsidR="00000000" w:rsidDel="00000000" w:rsidP="00000000" w:rsidRDefault="00000000" w:rsidRPr="00000000" w14:paraId="0000009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Pauca-Comanescu M., Mihailescu S., Biris I. 2005 - “Habitatele din Romania”, Ed. Tehnicã Silvicã, București </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gusfcvixtxx6"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J.O. 2008. Manual de interpretare a habitatelor Natura 2000 din Romania, Ed. RISOPRINT, editor M.M.D.D. </w:t>
      </w:r>
    </w:p>
    <w:p w:rsidR="00000000" w:rsidDel="00000000" w:rsidP="00000000" w:rsidRDefault="00000000" w:rsidRPr="00000000" w14:paraId="0000009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19 iunie 2025 – online</w:t>
      </w:r>
    </w:p>
    <w:p w:rsidR="00000000" w:rsidDel="00000000" w:rsidP="00000000" w:rsidRDefault="00000000" w:rsidRPr="00000000" w14:paraId="0000009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 ianuarie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Suceava.</w:t>
      </w:r>
    </w:p>
    <w:p w:rsidR="00000000" w:rsidDel="00000000" w:rsidP="00000000" w:rsidRDefault="00000000" w:rsidRPr="00000000" w14:paraId="00000099">
      <w:pPr>
        <w:jc w:val="center"/>
        <w:rPr>
          <w:b w:val="1"/>
          <w:bCs w:val="1"/>
          <w:sz w:val="22"/>
          <w:szCs w:val="22"/>
        </w:rPr>
      </w:pPr>
      <w:r w:rsidDel="00000000" w:rsidR="00000000" w:rsidRPr="00000000">
        <w:rPr>
          <w:rtl w:val="0"/>
        </w:rPr>
      </w:r>
    </w:p>
    <w:p w:rsidR="00000000" w:rsidDel="00000000" w:rsidP="00000000" w:rsidRDefault="00000000" w:rsidRPr="00000000" w14:paraId="0000009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9B">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C">
      <w:pPr>
        <w:rPr>
          <w:sz w:val="22"/>
          <w:szCs w:val="22"/>
        </w:rPr>
      </w:pPr>
      <w:r w:rsidDel="00000000" w:rsidR="00000000" w:rsidRPr="00000000">
        <w:rPr>
          <w:sz w:val="22"/>
          <w:szCs w:val="22"/>
          <w:rtl w:val="0"/>
        </w:rPr>
        <w:t xml:space="preserve">Link: </w:t>
      </w:r>
      <w:hyperlink r:id="rId9">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tabs>
          <w:tab w:val="left" w:leader="none" w:pos="3972"/>
        </w:tabs>
        <w:rPr/>
      </w:pPr>
      <w:r w:rsidDel="00000000" w:rsidR="00000000" w:rsidRPr="00000000">
        <w:rPr>
          <w:rtl w:val="0"/>
        </w:rPr>
        <w:tab/>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Play"/>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XyJ369Ty5FJxS1vwL/t05cci0g==">CgMxLjAaJwoBMBIiCiAIBCocCgtBQUFCXzFLM1FHOBAIGgtBQUFCXzFLM1FHOB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